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B56A7A">
      <w:pPr>
        <w:pStyle w:val="Heading1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2</w:t>
      </w:r>
      <w:r>
        <w:rPr>
          <w:rFonts w:cs="Arial Rounded MT Bold"/>
          <w:caps w:val="0"/>
          <w:vertAlign w:val="superscript"/>
          <w:lang w:eastAsia="fr-FR"/>
        </w:rPr>
        <w:t>ème</w:t>
      </w:r>
      <w:r>
        <w:rPr>
          <w:rFonts w:cs="Arial Rounded MT Bold"/>
          <w:lang w:eastAsia="fr-FR"/>
        </w:rPr>
        <w:t xml:space="preserve"> langue étrangère : Français</w:t>
      </w:r>
      <w:r>
        <w:rPr>
          <w:rFonts w:cs="Arial Rounded MT Bold"/>
          <w:lang w:eastAsia="fr-FR"/>
        </w:rPr>
        <w:br/>
        <w:t>(60 périodes)</w:t>
      </w:r>
    </w:p>
    <w:p w:rsidR="00317EF6" w:rsidRDefault="00317EF6" w:rsidP="00B56A7A">
      <w:pPr>
        <w:pStyle w:val="Heading2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Description du métier</w:t>
      </w:r>
    </w:p>
    <w:p w:rsidR="00317EF6" w:rsidRPr="007C7AC6" w:rsidRDefault="00317EF6" w:rsidP="00B56A7A">
      <w:pPr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/>
          <w:b/>
          <w:bCs/>
          <w:sz w:val="22"/>
          <w:szCs w:val="26"/>
          <w:lang w:val="fr-FR" w:eastAsia="fr-FR"/>
        </w:rPr>
        <w:tab/>
      </w:r>
      <w:r w:rsidRPr="007C7AC6">
        <w:rPr>
          <w:rFonts w:ascii="Arial" w:hAnsi="Arial" w:cs="Arial"/>
          <w:sz w:val="22"/>
          <w:szCs w:val="26"/>
          <w:lang w:val="fr-FR" w:eastAsia="fr-FR"/>
        </w:rPr>
        <w:t xml:space="preserve">A la fin de ce cursus, l’apprenant devrait être capable de participer à une conversation : il saurait se présenter, prendre la parole et soutenir une conversation portant sur des sujets se rapportant à sa spécialisation comme la prise de congé. Il devrait alors comprendre, produire les consignes et les traduire quand il le faut. Finalement, il devrait consulter des documents de la spécialité. </w:t>
      </w:r>
    </w:p>
    <w:p w:rsidR="00317EF6" w:rsidRPr="009321A8" w:rsidRDefault="00317EF6" w:rsidP="00B56A7A">
      <w:pPr>
        <w:pStyle w:val="Heading2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Compétences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317EF6" w:rsidRPr="007C7AC6" w:rsidRDefault="00317EF6" w:rsidP="0062105F">
      <w:pPr>
        <w:numPr>
          <w:ilvl w:val="0"/>
          <w:numId w:val="64"/>
        </w:num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Présenter, se présenter, prendre la parole.</w:t>
      </w:r>
    </w:p>
    <w:p w:rsidR="00317EF6" w:rsidRPr="007C7AC6" w:rsidRDefault="00317EF6" w:rsidP="0062105F">
      <w:pPr>
        <w:numPr>
          <w:ilvl w:val="0"/>
          <w:numId w:val="64"/>
        </w:num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Comprendre et produire des consignes.</w:t>
      </w:r>
    </w:p>
    <w:p w:rsidR="00317EF6" w:rsidRPr="007C7AC6" w:rsidRDefault="00317EF6" w:rsidP="0062105F">
      <w:pPr>
        <w:numPr>
          <w:ilvl w:val="0"/>
          <w:numId w:val="64"/>
        </w:num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Consulter des documents de la spécialité.</w:t>
      </w:r>
    </w:p>
    <w:p w:rsidR="00317EF6" w:rsidRPr="00F32E88" w:rsidRDefault="00317EF6" w:rsidP="00B56A7A">
      <w:pPr>
        <w:pStyle w:val="Title"/>
        <w:rPr>
          <w:rFonts w:ascii="Times New Roman" w:hAnsi="Times New Roman" w:cs="Times New Roman"/>
          <w:lang w:val="fr-FR"/>
        </w:rPr>
      </w:pPr>
      <w:r w:rsidRPr="00F32E88">
        <w:rPr>
          <w:rFonts w:ascii="Times New Roman" w:hAnsi="Times New Roman" w:cs="Times New Roman"/>
          <w:lang w:val="fr-FR"/>
        </w:rPr>
        <w:t xml:space="preserve">Cours 1 : Présenter, se présenter, prendre la parole </w:t>
      </w:r>
    </w:p>
    <w:p w:rsidR="00317EF6" w:rsidRPr="009321A8" w:rsidRDefault="00317EF6" w:rsidP="00B56A7A">
      <w:pPr>
        <w:pStyle w:val="period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 xml:space="preserve">5 </w:t>
      </w:r>
      <w:r w:rsidRPr="009321A8">
        <w:rPr>
          <w:rFonts w:ascii="Times New Roman" w:hAnsi="Times New Roman" w:cs="Times New Roman"/>
        </w:rPr>
        <w:t>périodes)</w:t>
      </w:r>
    </w:p>
    <w:p w:rsidR="00317EF6" w:rsidRPr="009321A8" w:rsidRDefault="00317EF6" w:rsidP="00B56A7A">
      <w:pPr>
        <w:pStyle w:val="Heading2"/>
        <w:spacing w:before="0"/>
        <w:rPr>
          <w:rFonts w:ascii="Times New Roman" w:hAnsi="Times New Roman" w:cs="Times New Roman"/>
          <w:sz w:val="22"/>
        </w:rPr>
      </w:pPr>
      <w:r w:rsidRPr="009321A8">
        <w:rPr>
          <w:rFonts w:ascii="Times New Roman" w:hAnsi="Times New Roman" w:cs="Times New Roman"/>
        </w:rPr>
        <w:t>Objectifs</w:t>
      </w:r>
    </w:p>
    <w:p w:rsidR="00317EF6" w:rsidRPr="007C7AC6" w:rsidRDefault="00317EF6" w:rsidP="00B56A7A">
      <w:pPr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Au terme de ce cours, l’apprenant devrait être capable de :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szCs w:val="22"/>
          <w:lang w:eastAsia="fr-FR"/>
        </w:rPr>
      </w:pPr>
      <w:r w:rsidRPr="007C7AC6">
        <w:rPr>
          <w:rFonts w:cs="Arial"/>
          <w:szCs w:val="22"/>
          <w:lang w:eastAsia="fr-FR"/>
        </w:rPr>
        <w:t>–</w:t>
      </w:r>
      <w:r w:rsidRPr="007C7AC6">
        <w:rPr>
          <w:rFonts w:cs="Arial"/>
          <w:szCs w:val="22"/>
          <w:lang w:eastAsia="fr-FR"/>
        </w:rPr>
        <w:tab/>
        <w:t xml:space="preserve">Prendre contact.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szCs w:val="22"/>
          <w:lang w:eastAsia="fr-FR"/>
        </w:rPr>
      </w:pPr>
      <w:r w:rsidRPr="007C7AC6">
        <w:rPr>
          <w:rFonts w:cs="Arial"/>
          <w:szCs w:val="22"/>
          <w:lang w:eastAsia="fr-FR"/>
        </w:rPr>
        <w:t>–</w:t>
      </w:r>
      <w:r w:rsidRPr="007C7AC6">
        <w:rPr>
          <w:rFonts w:cs="Arial"/>
          <w:szCs w:val="22"/>
          <w:lang w:eastAsia="fr-FR"/>
        </w:rPr>
        <w:tab/>
        <w:t xml:space="preserve">Etablir un échange de base.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szCs w:val="22"/>
          <w:lang w:eastAsia="fr-FR"/>
        </w:rPr>
      </w:pPr>
      <w:r w:rsidRPr="007C7AC6">
        <w:rPr>
          <w:rFonts w:cs="Arial"/>
          <w:szCs w:val="22"/>
          <w:lang w:eastAsia="fr-FR"/>
        </w:rPr>
        <w:t>–</w:t>
      </w:r>
      <w:r w:rsidRPr="007C7AC6">
        <w:rPr>
          <w:rFonts w:cs="Arial"/>
          <w:szCs w:val="22"/>
          <w:lang w:eastAsia="fr-FR"/>
        </w:rPr>
        <w:tab/>
        <w:t xml:space="preserve">Soutenir une conversation. 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</w:r>
      <w:r w:rsidRPr="007C7AC6">
        <w:rPr>
          <w:rFonts w:cs="Arial"/>
          <w:szCs w:val="22"/>
          <w:lang w:eastAsia="fr-FR"/>
        </w:rPr>
        <w:t>Prendre congé.</w:t>
      </w:r>
    </w:p>
    <w:p w:rsidR="00317EF6" w:rsidRPr="00F32E88" w:rsidRDefault="00317EF6" w:rsidP="00B56A7A">
      <w:pPr>
        <w:pStyle w:val="Title"/>
        <w:rPr>
          <w:rFonts w:ascii="Times New Roman" w:hAnsi="Times New Roman" w:cs="Times New Roman"/>
          <w:lang w:val="fr-FR"/>
        </w:rPr>
      </w:pPr>
      <w:r w:rsidRPr="00F32E88">
        <w:rPr>
          <w:rFonts w:ascii="Times New Roman" w:hAnsi="Times New Roman" w:cs="Times New Roman"/>
          <w:u w:val="single"/>
          <w:lang w:val="fr-FR"/>
        </w:rPr>
        <w:t>Chapitre 1</w:t>
      </w:r>
      <w:r w:rsidRPr="00F32E88">
        <w:rPr>
          <w:rFonts w:ascii="Times New Roman" w:hAnsi="Times New Roman" w:cs="Times New Roman"/>
          <w:lang w:val="fr-FR"/>
        </w:rPr>
        <w:br/>
        <w:t xml:space="preserve">Prise de contact et echange de base </w:t>
      </w:r>
    </w:p>
    <w:p w:rsidR="00317EF6" w:rsidRPr="00086DD5" w:rsidRDefault="00317EF6" w:rsidP="00B56A7A">
      <w:pPr>
        <w:pStyle w:val="Heading3"/>
        <w:rPr>
          <w:rFonts w:ascii="Times New Roman" w:hAnsi="Times New Roman" w:cs="Times New Roman"/>
          <w:lang w:val="fr-FR"/>
        </w:rPr>
      </w:pPr>
      <w:r w:rsidRPr="00086DD5">
        <w:rPr>
          <w:rFonts w:ascii="Times New Roman" w:hAnsi="Times New Roman" w:cs="Times New Roman"/>
          <w:lang w:val="fr-FR"/>
        </w:rPr>
        <w:t xml:space="preserve">Objectifs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szCs w:val="22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</w:r>
      <w:r w:rsidRPr="007C7AC6">
        <w:rPr>
          <w:rFonts w:cs="Arial"/>
          <w:szCs w:val="22"/>
          <w:lang w:eastAsia="fr-FR"/>
        </w:rPr>
        <w:t xml:space="preserve">Saluer.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szCs w:val="22"/>
          <w:lang w:eastAsia="fr-FR"/>
        </w:rPr>
      </w:pPr>
      <w:r w:rsidRPr="007C7AC6">
        <w:rPr>
          <w:rFonts w:cs="Arial"/>
          <w:szCs w:val="22"/>
          <w:lang w:eastAsia="fr-FR"/>
        </w:rPr>
        <w:t>–</w:t>
      </w:r>
      <w:r w:rsidRPr="007C7AC6">
        <w:rPr>
          <w:rFonts w:cs="Arial"/>
          <w:szCs w:val="22"/>
          <w:lang w:eastAsia="fr-FR"/>
        </w:rPr>
        <w:tab/>
        <w:t xml:space="preserve">Se présenter.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szCs w:val="22"/>
          <w:lang w:eastAsia="fr-FR"/>
        </w:rPr>
        <w:t>–</w:t>
      </w:r>
      <w:r w:rsidRPr="007C7AC6">
        <w:rPr>
          <w:rFonts w:cs="Arial"/>
          <w:szCs w:val="22"/>
          <w:lang w:eastAsia="fr-FR"/>
        </w:rPr>
        <w:tab/>
        <w:t>Etablir un échange de base</w:t>
      </w:r>
      <w:r w:rsidRPr="007C7AC6">
        <w:rPr>
          <w:rFonts w:cs="Arial"/>
          <w:lang w:eastAsia="fr-FR"/>
        </w:rPr>
        <w:t xml:space="preserve">.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pStyle w:val="BodyText2"/>
        <w:rPr>
          <w:rFonts w:cs="Arial"/>
          <w:szCs w:val="22"/>
          <w:lang w:eastAsia="fr-FR"/>
        </w:rPr>
      </w:pPr>
      <w:r w:rsidRPr="007C7AC6">
        <w:rPr>
          <w:rFonts w:cs="Arial"/>
          <w:lang w:eastAsia="fr-FR"/>
        </w:rPr>
        <w:t>1.1.1</w:t>
      </w:r>
      <w:r w:rsidRPr="007C7AC6">
        <w:rPr>
          <w:rFonts w:cs="Arial"/>
          <w:lang w:eastAsia="fr-FR"/>
        </w:rPr>
        <w:tab/>
      </w:r>
      <w:r w:rsidRPr="007C7AC6">
        <w:rPr>
          <w:rFonts w:cs="Arial"/>
          <w:szCs w:val="22"/>
          <w:lang w:eastAsia="fr-FR"/>
        </w:rPr>
        <w:t>Destinataire : pronoms sujets et toniques, choix de la personne (tutoiement/ vouvoiement).</w:t>
      </w:r>
    </w:p>
    <w:p w:rsidR="00317EF6" w:rsidRPr="007C7AC6" w:rsidRDefault="00317EF6" w:rsidP="00B56A7A">
      <w:pPr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1.1.2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Lexique de la salutation adapté à la personne et à la situation. </w:t>
      </w:r>
    </w:p>
    <w:p w:rsidR="00317EF6" w:rsidRPr="007C7AC6" w:rsidRDefault="00317EF6" w:rsidP="00B56A7A">
      <w:pPr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1.1.3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Formules de prise de contact.</w:t>
      </w:r>
    </w:p>
    <w:p w:rsidR="00317EF6" w:rsidRPr="007C7AC6" w:rsidRDefault="00317EF6" w:rsidP="00B56A7A">
      <w:pPr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1.1.4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Structures interrogatives à l’oral. </w:t>
      </w:r>
    </w:p>
    <w:p w:rsidR="00317EF6" w:rsidRPr="007C7AC6" w:rsidRDefault="00317EF6" w:rsidP="00B56A7A">
      <w:pPr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1.1.5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Expressions ou structures d’interrogation (s’il vous plaît, pardon, excusez-moi…).</w:t>
      </w:r>
    </w:p>
    <w:p w:rsidR="00317EF6" w:rsidRPr="007C7AC6" w:rsidRDefault="00317EF6" w:rsidP="00B56A7A">
      <w:pPr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1.1.6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Conditionnel de politesse. </w:t>
      </w:r>
    </w:p>
    <w:p w:rsidR="00317EF6" w:rsidRPr="007C7AC6" w:rsidRDefault="00317EF6" w:rsidP="00B56A7A">
      <w:pPr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1.1.7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Présentatifs (c’est un, il est…).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u w:val="single"/>
          <w:lang w:val="fr-FR"/>
        </w:rPr>
        <w:t>Chapitre 2</w:t>
      </w:r>
      <w:r w:rsidRPr="007C7AC6">
        <w:rPr>
          <w:rFonts w:ascii="Arial" w:hAnsi="Arial" w:cs="Arial"/>
          <w:lang w:val="fr-FR"/>
        </w:rPr>
        <w:br/>
        <w:t xml:space="preserve">Conversation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Objectifs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>Entamer et soutenir une conversation.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Echanger des points de vue (des opinions).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pStyle w:val="BodyText2"/>
        <w:ind w:left="567" w:hanging="567"/>
        <w:rPr>
          <w:rFonts w:cs="Arial"/>
          <w:szCs w:val="22"/>
          <w:lang w:eastAsia="fr-FR"/>
        </w:rPr>
      </w:pPr>
      <w:r w:rsidRPr="007C7AC6">
        <w:rPr>
          <w:rFonts w:cs="Arial"/>
          <w:szCs w:val="22"/>
          <w:lang w:eastAsia="fr-FR"/>
        </w:rPr>
        <w:t>1.2.1</w:t>
      </w:r>
      <w:r w:rsidRPr="007C7AC6">
        <w:rPr>
          <w:rFonts w:cs="Arial"/>
          <w:szCs w:val="22"/>
          <w:lang w:eastAsia="fr-FR"/>
        </w:rPr>
        <w:tab/>
        <w:t xml:space="preserve">Structures syntaxiques du discours direct.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1.2.2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Intonation.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1.2.3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Lexique de l’exemple, de la comparaison (tel, ainsi que, comme…).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1.2.4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Expressions d’ouverture, de fermeture et de changement d’orientation.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1.2.5 Pronoms toniques.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lastRenderedPageBreak/>
        <w:t xml:space="preserve">1.2.6 Expressions ou adverbes ou interjections de réflexion (bon, c’est-à-dire, est…). </w:t>
      </w:r>
    </w:p>
    <w:p w:rsidR="00317EF6" w:rsidRPr="007C7AC6" w:rsidRDefault="00317EF6" w:rsidP="00B56A7A">
      <w:pPr>
        <w:pStyle w:val="BodyText2"/>
        <w:ind w:left="567" w:hanging="567"/>
        <w:rPr>
          <w:rFonts w:cs="Arial"/>
          <w:szCs w:val="22"/>
          <w:lang w:eastAsia="fr-FR"/>
        </w:rPr>
      </w:pPr>
      <w:r w:rsidRPr="007C7AC6">
        <w:rPr>
          <w:rFonts w:cs="Arial"/>
          <w:szCs w:val="22"/>
          <w:lang w:eastAsia="fr-FR"/>
        </w:rPr>
        <w:t>1.2.7</w:t>
      </w:r>
      <w:r w:rsidRPr="007C7AC6">
        <w:rPr>
          <w:rFonts w:cs="Arial"/>
          <w:szCs w:val="22"/>
          <w:lang w:eastAsia="fr-FR"/>
        </w:rPr>
        <w:tab/>
        <w:t xml:space="preserve">Formules de demande d’explicitation (je n’ai pas compris, c’est-à-dire ? …).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1.2.8 Lexique de l’accord / du désaccord.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u w:val="single"/>
          <w:lang w:val="fr-FR"/>
        </w:rPr>
        <w:t>Chapitre 3</w:t>
      </w:r>
      <w:r w:rsidRPr="007C7AC6">
        <w:rPr>
          <w:rFonts w:ascii="Arial" w:hAnsi="Arial" w:cs="Arial"/>
          <w:lang w:val="fr-FR"/>
        </w:rPr>
        <w:br/>
        <w:t>prise de congé</w:t>
      </w:r>
    </w:p>
    <w:p w:rsidR="00317EF6" w:rsidRPr="007C7AC6" w:rsidRDefault="00317EF6" w:rsidP="00B56A7A">
      <w:pPr>
        <w:pStyle w:val="Heading3"/>
        <w:spacing w:before="0"/>
        <w:rPr>
          <w:rFonts w:cs="Arial"/>
          <w:lang w:val="fr-FR"/>
        </w:rPr>
      </w:pPr>
      <w:r w:rsidRPr="007C7AC6">
        <w:rPr>
          <w:rFonts w:cs="Arial"/>
          <w:lang w:val="fr-FR"/>
        </w:rPr>
        <w:t>Objectifs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Enoncer des hypothèses.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>Prendre congé.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1.3.1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Lexique de l’énonciation (dire, rappeler, aborder…).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1.3.2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Lexique de l’appréciation (nul, médiocre, excellent) et du remerciement (merci, je vous en prie…).</w:t>
      </w:r>
    </w:p>
    <w:p w:rsidR="00317EF6" w:rsidRPr="007C7AC6" w:rsidRDefault="00317EF6" w:rsidP="00B56A7A">
      <w:pPr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/>
        </w:rPr>
        <w:t>1.3.3</w:t>
      </w:r>
      <w:r w:rsidRPr="007C7AC6">
        <w:rPr>
          <w:rFonts w:ascii="Arial" w:hAnsi="Arial" w:cs="Arial"/>
          <w:sz w:val="22"/>
          <w:szCs w:val="22"/>
          <w:lang w:val="fr-FR"/>
        </w:rPr>
        <w:tab/>
        <w:t xml:space="preserve">Eléments d’information socioculturels (appellation, formules de politesse, tutoiement, vouvoiement…). </w:t>
      </w:r>
    </w:p>
    <w:p w:rsidR="00317EF6" w:rsidRPr="007C7AC6" w:rsidRDefault="00317EF6" w:rsidP="00B56A7A">
      <w:pPr>
        <w:pStyle w:val="BodyText"/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Cs w:val="22"/>
          <w:lang w:val="fr-FR" w:eastAsia="fr-FR"/>
        </w:rPr>
        <w:t>1.3.4</w:t>
      </w:r>
      <w:r w:rsidRPr="007C7AC6">
        <w:rPr>
          <w:rFonts w:ascii="Arial" w:hAnsi="Arial" w:cs="Arial"/>
          <w:szCs w:val="22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Lexiques de probabilité (adverbes d’affirmation, de négation, de </w:t>
      </w:r>
      <w:proofErr w:type="gramStart"/>
      <w:r w:rsidRPr="007C7AC6">
        <w:rPr>
          <w:rFonts w:ascii="Arial" w:hAnsi="Arial" w:cs="Arial"/>
          <w:sz w:val="22"/>
          <w:szCs w:val="22"/>
          <w:lang w:val="fr-FR" w:eastAsia="fr-FR"/>
        </w:rPr>
        <w:t>doute:</w:t>
      </w:r>
      <w:proofErr w:type="gramEnd"/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 sans doute, certainement, peut-être, on ne sait jamais…). </w:t>
      </w:r>
    </w:p>
    <w:p w:rsidR="00317EF6" w:rsidRPr="007C7AC6" w:rsidRDefault="00317EF6" w:rsidP="00B56A7A">
      <w:pPr>
        <w:pStyle w:val="BodyText"/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Cs w:val="22"/>
          <w:lang w:val="fr-FR" w:eastAsia="fr-FR"/>
        </w:rPr>
        <w:t>1.3.5</w:t>
      </w:r>
      <w:r w:rsidRPr="007C7AC6">
        <w:rPr>
          <w:rFonts w:ascii="Arial" w:hAnsi="Arial" w:cs="Arial"/>
          <w:szCs w:val="22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>Lexique et gestuelle de la prise de congé.</w:t>
      </w:r>
    </w:p>
    <w:p w:rsidR="00317EF6" w:rsidRPr="007C7AC6" w:rsidRDefault="00317EF6" w:rsidP="00B56A7A">
      <w:pPr>
        <w:pStyle w:val="BodyText"/>
        <w:ind w:left="567" w:hanging="56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1.3.6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Les outils de l’hypothèse </w:t>
      </w:r>
    </w:p>
    <w:p w:rsidR="00317EF6" w:rsidRPr="007C7AC6" w:rsidRDefault="00317EF6" w:rsidP="00B56A7A">
      <w:pPr>
        <w:pStyle w:val="BodyTextIndent2"/>
        <w:ind w:left="1276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1.3.6.1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Modes et temps (subjectif, conditionnel, imparfait)</w:t>
      </w:r>
    </w:p>
    <w:p w:rsidR="00317EF6" w:rsidRPr="007C7AC6" w:rsidRDefault="00317EF6" w:rsidP="00B56A7A">
      <w:pPr>
        <w:ind w:left="1276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1.3.6.2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Conjonctions (si, au cas où…)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lang w:val="fr-FR"/>
        </w:rPr>
        <w:t xml:space="preserve">cours 2 : Comprendre et produire des consignes </w:t>
      </w:r>
    </w:p>
    <w:p w:rsidR="00317EF6" w:rsidRPr="007C7AC6" w:rsidRDefault="00317EF6" w:rsidP="00B56A7A">
      <w:pPr>
        <w:pStyle w:val="Heading2"/>
        <w:spacing w:before="0"/>
        <w:rPr>
          <w:rFonts w:ascii="Arial" w:hAnsi="Arial" w:cs="Arial"/>
          <w:sz w:val="22"/>
        </w:rPr>
      </w:pPr>
      <w:r w:rsidRPr="007C7AC6">
        <w:rPr>
          <w:rFonts w:ascii="Arial" w:hAnsi="Arial" w:cs="Arial"/>
        </w:rPr>
        <w:t>Objectifs</w:t>
      </w:r>
      <w:r w:rsidRPr="007C7AC6">
        <w:rPr>
          <w:rFonts w:ascii="Arial" w:hAnsi="Arial" w:cs="Arial"/>
          <w:sz w:val="22"/>
        </w:rPr>
        <w:t xml:space="preserve"> 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Au terme de ce cours, l’apprenant devrait être capable de :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Comprendre l’objectif d’une consigne complexe.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>Expliciter une consigne.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Reformuler des consignes, produire des consignes à partir d’une tâche concrète.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>Traduire un mode d’emploi, une tâche à accomplir.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u w:val="single"/>
          <w:lang w:val="fr-FR"/>
        </w:rPr>
        <w:t>Chapitre 1</w:t>
      </w:r>
      <w:r w:rsidRPr="007C7AC6">
        <w:rPr>
          <w:rFonts w:ascii="Arial" w:hAnsi="Arial" w:cs="Arial"/>
          <w:lang w:val="fr-FR"/>
        </w:rPr>
        <w:br/>
        <w:t xml:space="preserve">Etude de consignes </w:t>
      </w:r>
    </w:p>
    <w:p w:rsidR="00317EF6" w:rsidRPr="007C7AC6" w:rsidRDefault="00317EF6" w:rsidP="00B56A7A">
      <w:pPr>
        <w:pStyle w:val="Heading3"/>
        <w:spacing w:before="0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Objectif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Repérer les constituants d’une consigne complexe.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lang w:val="fr-FR" w:eastAsia="fr-FR"/>
        </w:rPr>
        <w:t xml:space="preserve">2.1.1 </w:t>
      </w:r>
      <w:r w:rsidRPr="007C7AC6">
        <w:rPr>
          <w:rFonts w:ascii="Arial" w:hAnsi="Arial" w:cs="Arial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Intonation et degré d’injonction (conseil, demande, ordre). </w:t>
      </w:r>
    </w:p>
    <w:p w:rsidR="00317EF6" w:rsidRPr="007C7AC6" w:rsidRDefault="00317EF6" w:rsidP="00B56A7A">
      <w:pPr>
        <w:pStyle w:val="BodyText"/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2.1.2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Marques des structures interrogatives à l’oral et à l’écrit (est-ce que…).</w:t>
      </w:r>
    </w:p>
    <w:p w:rsidR="00317EF6" w:rsidRPr="007C7AC6" w:rsidRDefault="00317EF6" w:rsidP="00B56A7A">
      <w:pPr>
        <w:pStyle w:val="BodyText"/>
        <w:ind w:left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2.1.2.1 Structures interrogatives à l’oral et à l’écrit. </w:t>
      </w:r>
    </w:p>
    <w:p w:rsidR="00317EF6" w:rsidRPr="007C7AC6" w:rsidRDefault="00317EF6" w:rsidP="00B56A7A">
      <w:pPr>
        <w:pStyle w:val="BodyText"/>
        <w:ind w:left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2.1.2.2 Interrogation directe. </w:t>
      </w:r>
    </w:p>
    <w:p w:rsidR="00317EF6" w:rsidRPr="007C7AC6" w:rsidRDefault="00317EF6" w:rsidP="00B56A7A">
      <w:pPr>
        <w:pStyle w:val="BodyText"/>
        <w:ind w:left="737" w:hanging="737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2.1.3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Adverbes de modalisation (jamais, rarement, parfois, surtout, toujours, sûrement, certainement, sans doute…)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lang w:val="fr-FR" w:eastAsia="fr-FR"/>
        </w:rPr>
        <w:t xml:space="preserve">2.1.4 </w:t>
      </w:r>
      <w:r w:rsidRPr="007C7AC6">
        <w:rPr>
          <w:rFonts w:ascii="Arial" w:hAnsi="Arial" w:cs="Arial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Lexique des tâches professionnelles. </w:t>
      </w:r>
    </w:p>
    <w:p w:rsidR="00317EF6" w:rsidRPr="007C7AC6" w:rsidRDefault="00317EF6" w:rsidP="00B56A7A">
      <w:pPr>
        <w:pStyle w:val="Title"/>
        <w:rPr>
          <w:rFonts w:ascii="Arial" w:hAnsi="Arial" w:cs="Arial"/>
          <w:u w:val="single"/>
          <w:lang w:val="fr-FR"/>
        </w:rPr>
      </w:pP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u w:val="single"/>
          <w:lang w:val="fr-FR"/>
        </w:rPr>
        <w:t>Chapitre 2</w:t>
      </w:r>
      <w:r w:rsidRPr="007C7AC6">
        <w:rPr>
          <w:rFonts w:ascii="Arial" w:hAnsi="Arial" w:cs="Arial"/>
          <w:lang w:val="fr-FR"/>
        </w:rPr>
        <w:br/>
        <w:t>Production et traduction de consigne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lastRenderedPageBreak/>
        <w:t>Objectifs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Produire des consignes.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Traduire des consignes.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lang w:val="fr-FR" w:eastAsia="fr-FR"/>
        </w:rPr>
        <w:t xml:space="preserve">2.2.1 </w:t>
      </w:r>
      <w:r w:rsidRPr="007C7AC6">
        <w:rPr>
          <w:rFonts w:ascii="Arial" w:hAnsi="Arial" w:cs="Arial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Modes et temps verbaux (infinitif… impératif… futur de l’indicatif…).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2.2.2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Structures syntaxiques nominales, infinitives, verbales.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2.2.3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Choix des personnes de l’énonciation. </w:t>
      </w:r>
    </w:p>
    <w:p w:rsidR="00317EF6" w:rsidRPr="007C7AC6" w:rsidRDefault="00317EF6" w:rsidP="00B56A7A">
      <w:pPr>
        <w:pStyle w:val="BodyText"/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2.2.4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Formes verbales impersonnelles : forme, pronominale de sens passif, proposition participiale (passé et présent).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2.2.5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Verbes de modalité (pouvoir, savoir, devoir…).</w:t>
      </w:r>
    </w:p>
    <w:p w:rsidR="00317EF6" w:rsidRPr="007C7AC6" w:rsidRDefault="00317EF6" w:rsidP="00B56A7A">
      <w:pPr>
        <w:pStyle w:val="BodyText"/>
        <w:ind w:left="1701" w:hanging="992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>2.2.5.1 Utiliser les notions du chapitre 1 pour produire des consignes.</w:t>
      </w:r>
    </w:p>
    <w:p w:rsidR="00317EF6" w:rsidRPr="007C7AC6" w:rsidRDefault="00317EF6" w:rsidP="00B56A7A">
      <w:pPr>
        <w:pStyle w:val="BodyText"/>
        <w:ind w:left="1701" w:hanging="992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2.2.5.2 Thème et version de textes concernant la spécialisation. 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lang w:val="fr-FR"/>
        </w:rPr>
        <w:t>Cours 3 : Consulter des documents de la spécialité</w:t>
      </w:r>
    </w:p>
    <w:p w:rsidR="00317EF6" w:rsidRPr="007C7AC6" w:rsidRDefault="00317EF6" w:rsidP="00B56A7A">
      <w:pPr>
        <w:pStyle w:val="Heading2"/>
        <w:rPr>
          <w:rFonts w:ascii="Arial" w:hAnsi="Arial" w:cs="Arial"/>
        </w:rPr>
      </w:pPr>
      <w:r w:rsidRPr="007C7AC6">
        <w:rPr>
          <w:rFonts w:ascii="Arial" w:hAnsi="Arial" w:cs="Arial"/>
        </w:rPr>
        <w:t>Objectifs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Au terme de ce cours, l’apprenant devrait être capable de :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Lire en faisant la relation entre le texte et l’illustration.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Comprendre et utiliser les termes techniques.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Faire une recherche ciblée d’information. 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u w:val="single"/>
          <w:lang w:val="fr-FR"/>
        </w:rPr>
        <w:t>Chapitre 1</w:t>
      </w:r>
      <w:r w:rsidRPr="007C7AC6">
        <w:rPr>
          <w:rFonts w:ascii="Arial" w:hAnsi="Arial" w:cs="Arial"/>
          <w:lang w:val="fr-FR"/>
        </w:rPr>
        <w:br/>
        <w:t xml:space="preserve">Lecture et compréhension d’un document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Objectifs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Associer texte et illustration. 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Utiliser les termes techniques.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lang w:val="fr-FR" w:eastAsia="fr-FR"/>
        </w:rPr>
        <w:t xml:space="preserve">3.1.1 </w:t>
      </w:r>
      <w:r w:rsidRPr="007C7AC6">
        <w:rPr>
          <w:rFonts w:ascii="Arial" w:hAnsi="Arial" w:cs="Arial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Mise en relief ou en schéma (espaces, tirets, retraits de ligne, graphismes et sigles).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3.1.2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Structures nominale, infinitive, impérative. </w:t>
      </w:r>
    </w:p>
    <w:p w:rsidR="00317EF6" w:rsidRPr="007C7AC6" w:rsidRDefault="00317EF6" w:rsidP="00B56A7A">
      <w:pPr>
        <w:pStyle w:val="Title"/>
        <w:rPr>
          <w:rFonts w:ascii="Arial" w:hAnsi="Arial" w:cs="Arial"/>
          <w:lang w:val="fr-FR"/>
        </w:rPr>
      </w:pPr>
      <w:r w:rsidRPr="007C7AC6">
        <w:rPr>
          <w:rFonts w:ascii="Arial" w:hAnsi="Arial" w:cs="Arial"/>
          <w:u w:val="single"/>
          <w:lang w:val="fr-FR"/>
        </w:rPr>
        <w:t>Chapitre 2 </w:t>
      </w:r>
      <w:r w:rsidRPr="007C7AC6">
        <w:rPr>
          <w:rFonts w:ascii="Arial" w:hAnsi="Arial" w:cs="Arial"/>
          <w:u w:val="single"/>
          <w:lang w:val="fr-FR"/>
        </w:rPr>
        <w:br/>
      </w:r>
      <w:r w:rsidRPr="007C7AC6">
        <w:rPr>
          <w:rFonts w:ascii="Arial" w:hAnsi="Arial" w:cs="Arial"/>
          <w:lang w:val="fr-FR"/>
        </w:rPr>
        <w:t xml:space="preserve">Recherche ciblée d’information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>Objectif </w:t>
      </w:r>
    </w:p>
    <w:p w:rsidR="00317EF6" w:rsidRPr="007C7AC6" w:rsidRDefault="00317EF6" w:rsidP="00B56A7A">
      <w:pPr>
        <w:pStyle w:val="BodyText2"/>
        <w:ind w:left="284" w:hanging="284"/>
        <w:rPr>
          <w:rFonts w:cs="Arial"/>
          <w:lang w:eastAsia="fr-FR"/>
        </w:rPr>
      </w:pPr>
      <w:r w:rsidRPr="007C7AC6">
        <w:rPr>
          <w:rFonts w:cs="Arial"/>
          <w:lang w:eastAsia="fr-FR"/>
        </w:rPr>
        <w:t>–</w:t>
      </w:r>
      <w:r w:rsidRPr="007C7AC6">
        <w:rPr>
          <w:rFonts w:cs="Arial"/>
          <w:lang w:eastAsia="fr-FR"/>
        </w:rPr>
        <w:tab/>
        <w:t xml:space="preserve">Faire une recherche ciblée d’information. </w:t>
      </w:r>
    </w:p>
    <w:p w:rsidR="00317EF6" w:rsidRPr="007C7AC6" w:rsidRDefault="00317EF6" w:rsidP="00B56A7A">
      <w:pPr>
        <w:pStyle w:val="Heading3"/>
        <w:rPr>
          <w:rFonts w:cs="Arial"/>
          <w:lang w:val="fr-FR"/>
        </w:rPr>
      </w:pPr>
      <w:r w:rsidRPr="007C7AC6">
        <w:rPr>
          <w:rFonts w:cs="Arial"/>
          <w:lang w:val="fr-FR"/>
        </w:rPr>
        <w:t xml:space="preserve">Contenu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lang w:val="fr-FR" w:eastAsia="fr-FR"/>
        </w:rPr>
        <w:t xml:space="preserve">3.2.1 </w:t>
      </w:r>
      <w:r w:rsidRPr="007C7AC6">
        <w:rPr>
          <w:rFonts w:ascii="Arial" w:hAnsi="Arial" w:cs="Arial"/>
          <w:lang w:val="fr-FR" w:eastAsia="fr-FR"/>
        </w:rPr>
        <w:tab/>
      </w:r>
      <w:proofErr w:type="spellStart"/>
      <w:r w:rsidRPr="007C7AC6">
        <w:rPr>
          <w:rFonts w:ascii="Arial" w:hAnsi="Arial" w:cs="Arial"/>
          <w:sz w:val="22"/>
          <w:szCs w:val="22"/>
          <w:lang w:val="fr-FR" w:eastAsia="fr-FR"/>
        </w:rPr>
        <w:t>Impersonnalisation</w:t>
      </w:r>
      <w:proofErr w:type="spellEnd"/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 de l’énonciation (« </w:t>
      </w:r>
      <w:r w:rsidRPr="007C7AC6">
        <w:rPr>
          <w:rFonts w:ascii="Arial" w:hAnsi="Arial" w:cs="Arial"/>
          <w:i/>
          <w:iCs/>
          <w:sz w:val="22"/>
          <w:szCs w:val="22"/>
          <w:lang w:val="fr-FR" w:eastAsia="fr-FR"/>
        </w:rPr>
        <w:t>il</w:t>
      </w:r>
      <w:r w:rsidRPr="007C7AC6">
        <w:rPr>
          <w:rFonts w:ascii="Arial" w:hAnsi="Arial" w:cs="Arial"/>
          <w:sz w:val="22"/>
          <w:szCs w:val="22"/>
          <w:lang w:val="fr-FR" w:eastAsia="fr-FR"/>
        </w:rPr>
        <w:t> » et « </w:t>
      </w:r>
      <w:r w:rsidRPr="007C7AC6">
        <w:rPr>
          <w:rFonts w:ascii="Arial" w:hAnsi="Arial" w:cs="Arial"/>
          <w:i/>
          <w:iCs/>
          <w:sz w:val="22"/>
          <w:szCs w:val="22"/>
          <w:lang w:val="fr-FR" w:eastAsia="fr-FR"/>
        </w:rPr>
        <w:t>on</w:t>
      </w: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 » impersonnels).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3.2.2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Forme pronominale. </w:t>
      </w:r>
    </w:p>
    <w:p w:rsidR="00317EF6" w:rsidRPr="007C7AC6" w:rsidRDefault="00317EF6" w:rsidP="00B56A7A">
      <w:pPr>
        <w:pStyle w:val="BodyText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3.2.3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Les modalités, idées de pouvoir et de devoir. </w:t>
      </w:r>
    </w:p>
    <w:p w:rsidR="00317EF6" w:rsidRPr="007C7AC6" w:rsidRDefault="00317EF6" w:rsidP="00B56A7A">
      <w:pPr>
        <w:pStyle w:val="BodyText"/>
        <w:ind w:left="709" w:hanging="709"/>
        <w:rPr>
          <w:rFonts w:ascii="Arial" w:hAnsi="Arial" w:cs="Arial"/>
          <w:sz w:val="22"/>
          <w:szCs w:val="22"/>
          <w:lang w:val="fr-FR" w:eastAsia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3.2.4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 xml:space="preserve">L’expression de l’interdiction : forme négative, adjectifs (déconseillé, défendu, dangereux…). </w:t>
      </w:r>
    </w:p>
    <w:p w:rsidR="00317EF6" w:rsidRPr="007C7AC6" w:rsidRDefault="00317EF6" w:rsidP="00B56A7A">
      <w:pPr>
        <w:rPr>
          <w:rFonts w:ascii="Arial" w:hAnsi="Arial" w:cs="Arial"/>
          <w:sz w:val="22"/>
          <w:szCs w:val="22"/>
          <w:lang w:val="fr-FR"/>
        </w:rPr>
      </w:pPr>
      <w:r w:rsidRPr="007C7AC6">
        <w:rPr>
          <w:rFonts w:ascii="Arial" w:hAnsi="Arial" w:cs="Arial"/>
          <w:sz w:val="22"/>
          <w:szCs w:val="22"/>
          <w:lang w:val="fr-FR" w:eastAsia="fr-FR"/>
        </w:rPr>
        <w:t xml:space="preserve">3.2.5 </w:t>
      </w:r>
      <w:r w:rsidRPr="007C7AC6">
        <w:rPr>
          <w:rFonts w:ascii="Arial" w:hAnsi="Arial" w:cs="Arial"/>
          <w:sz w:val="22"/>
          <w:szCs w:val="22"/>
          <w:lang w:val="fr-FR" w:eastAsia="fr-FR"/>
        </w:rPr>
        <w:tab/>
        <w:t>La condition avec « si ».</w:t>
      </w:r>
    </w:p>
    <w:p w:rsidR="00317EF6" w:rsidRDefault="00317EF6" w:rsidP="00FC34D8">
      <w:pPr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</w:p>
    <w:sectPr w:rsidR="00317EF6" w:rsidSect="000D24D8">
      <w:headerReference w:type="default" r:id="rId8"/>
      <w:type w:val="continuous"/>
      <w:pgSz w:w="11907" w:h="16840" w:code="9"/>
      <w:pgMar w:top="567" w:right="851" w:bottom="1134" w:left="1134" w:header="567" w:footer="567" w:gutter="0"/>
      <w:paperSrc w:first="8242" w:other="824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24D8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15EA6"/>
    <w:rsid w:val="00A35549"/>
    <w:rsid w:val="00A37008"/>
    <w:rsid w:val="00A37DE5"/>
    <w:rsid w:val="00A40B3A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87A4-2945-4308-B750-00F42A78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165</cp:revision>
  <cp:lastPrinted>2012-09-25T05:56:00Z</cp:lastPrinted>
  <dcterms:created xsi:type="dcterms:W3CDTF">2012-08-24T05:04:00Z</dcterms:created>
  <dcterms:modified xsi:type="dcterms:W3CDTF">2019-07-24T07:07:00Z</dcterms:modified>
</cp:coreProperties>
</file>